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0509F8" w:rsidRDefault="000509F8">
      <w:pPr>
        <w:rPr>
          <w:b/>
          <w:lang w:val="de-DE"/>
        </w:rPr>
      </w:pPr>
      <w:r w:rsidRPr="000509F8">
        <w:rPr>
          <w:b/>
          <w:lang w:val="de-DE"/>
        </w:rPr>
        <w:t xml:space="preserve">Eric </w:t>
      </w:r>
      <w:proofErr w:type="spellStart"/>
      <w:r w:rsidRPr="000509F8">
        <w:rPr>
          <w:b/>
          <w:lang w:val="de-DE"/>
        </w:rPr>
        <w:t>Voegelin</w:t>
      </w:r>
      <w:proofErr w:type="spellEnd"/>
      <w:r w:rsidRPr="000509F8">
        <w:rPr>
          <w:b/>
          <w:lang w:val="de-DE"/>
        </w:rPr>
        <w:t xml:space="preserve">: Die politischen Religionen. Herausgegeben und mit einem Nachwort versehen von Peter J. Opitz. München: Wilhelm Fink, 2007. </w:t>
      </w:r>
    </w:p>
    <w:p w:rsidR="000509F8" w:rsidRDefault="000509F8">
      <w:pPr>
        <w:rPr>
          <w:lang w:val="de-DE"/>
        </w:rPr>
      </w:pPr>
    </w:p>
    <w:p w:rsidR="000509F8" w:rsidRDefault="000509F8">
      <w:pPr>
        <w:rPr>
          <w:lang w:val="de-DE"/>
        </w:rPr>
      </w:pPr>
      <w:r>
        <w:rPr>
          <w:lang w:val="de-DE"/>
        </w:rPr>
        <w:t xml:space="preserve">„Wir müssen daher eine sprachliche Entscheidung fällen: die Geistreligionen, die das </w:t>
      </w:r>
      <w:proofErr w:type="spellStart"/>
      <w:r>
        <w:rPr>
          <w:lang w:val="de-DE"/>
        </w:rPr>
        <w:t>Realissimum</w:t>
      </w:r>
      <w:proofErr w:type="spellEnd"/>
      <w:r>
        <w:rPr>
          <w:lang w:val="de-DE"/>
        </w:rPr>
        <w:t xml:space="preserve"> im Weltgrund finden, sollen für uns überweltliche Religionen heißen; alle anderen, die das Göttliche in Teilinhalten der Welt finden, sollen innerweltliche Religionen heißen.“ (17) </w:t>
      </w:r>
    </w:p>
    <w:p w:rsidR="00052442" w:rsidRDefault="00052442">
      <w:pPr>
        <w:rPr>
          <w:lang w:val="de-DE"/>
        </w:rPr>
      </w:pPr>
      <w:r>
        <w:rPr>
          <w:lang w:val="de-DE"/>
        </w:rPr>
        <w:t xml:space="preserve">Innerweltliche Gemeinschaft: „Langsam wandeln sich dagegen die Inhalte in der Richtung, die der Leviathan vorgezeichnet hat. Die Ekklesia löst sich immer mehr aus dem Verband des universalen Reiches mit der hierarchischen Spitze in </w:t>
      </w:r>
      <w:proofErr w:type="spellStart"/>
      <w:r>
        <w:rPr>
          <w:lang w:val="de-DE"/>
        </w:rPr>
        <w:t>Gott,</w:t>
      </w:r>
      <w:proofErr w:type="spellEnd"/>
      <w:r>
        <w:rPr>
          <w:lang w:val="de-DE"/>
        </w:rPr>
        <w:t xml:space="preserve"> bis sie sich in einzelnen Fällen verselbständigt und innerweltlich schließt. Sie ist nicht mehr sakral von der obersten Quelle her durchströmt, sondern ist selbst ursprüngliche sakrale Substanz geworden.“ (49) </w:t>
      </w:r>
    </w:p>
    <w:p w:rsidR="00052442" w:rsidRDefault="00052442">
      <w:pPr>
        <w:rPr>
          <w:lang w:val="de-DE"/>
        </w:rPr>
      </w:pPr>
      <w:r>
        <w:rPr>
          <w:lang w:val="de-DE"/>
        </w:rPr>
        <w:t xml:space="preserve">„neuen Innerweltlichkeit“ (49) </w:t>
      </w:r>
    </w:p>
    <w:p w:rsidR="00D36EB9" w:rsidRDefault="00052442">
      <w:pPr>
        <w:rPr>
          <w:lang w:val="de-DE"/>
        </w:rPr>
      </w:pPr>
      <w:r>
        <w:rPr>
          <w:lang w:val="de-DE"/>
        </w:rPr>
        <w:t xml:space="preserve">„Die Welt als Inhalt hat die Welt als Existenz verdrängt. Die Methoden der Wissenschaft als Formen der Erforschung des Weltinhaltes werden zu den allgemein verbindlichen, auf die sich die Haltung des Menschen zur Welt zu gründen habe; seit dem 19. Jahrhundert wird über große Perioden bis zur Gegenwart das Wort ‚metaphysisch‘ zum Schimpfwort, Religion zu ‚Opium für das Volk‘ und in einer neuen Wendung zu einer ‚Illusion‘ von fragwürdiger Zukunft. </w:t>
      </w:r>
      <w:r w:rsidR="00D36EB9">
        <w:rPr>
          <w:lang w:val="de-DE"/>
        </w:rPr>
        <w:t xml:space="preserve">Gegenformeln zu den Geistreligionen und ihrer Weltansicht werden gebildet, die sich aus der Weltwissenschaft als der gültigen Form der Einsicht im Gegensatz zu Offenbarung und mystischem Denken legitimieren“ (50) </w:t>
      </w:r>
    </w:p>
    <w:p w:rsidR="00D36EB9" w:rsidRDefault="00D36EB9">
      <w:pPr>
        <w:rPr>
          <w:lang w:val="de-DE"/>
        </w:rPr>
      </w:pPr>
      <w:r>
        <w:rPr>
          <w:lang w:val="de-DE"/>
        </w:rPr>
        <w:t xml:space="preserve">„Die Menschen können den Weltinhalt so anwachsen lassen, </w:t>
      </w:r>
      <w:proofErr w:type="spellStart"/>
      <w:r>
        <w:rPr>
          <w:lang w:val="de-DE"/>
        </w:rPr>
        <w:t>daß</w:t>
      </w:r>
      <w:proofErr w:type="spellEnd"/>
      <w:r>
        <w:rPr>
          <w:lang w:val="de-DE"/>
        </w:rPr>
        <w:t xml:space="preserve"> Welt und Gott hinter ihm verschwinden, aber sie können nicht die Problematik ihrer Existenz aufheben. Sie lebt in jeder Einzelseele weiter, und wenn Gott hinter der Welt unsichtbar geworden ist, dann werden die Inhalte der Welt zu neuen Göttern; wenn die Symbole der überweltlichen Religiosität verbannt werden, treten neue, aus der innerweltlichen Wissenschaftssprache entwickelte Symbole an ihrer Stelle. Die innerweltliche Gemeinschaft hat ihre Apokalypse so wie die christliche Ekklesia, nur bestehen die neuen Apokalyptiker darauf, </w:t>
      </w:r>
      <w:proofErr w:type="spellStart"/>
      <w:r>
        <w:rPr>
          <w:lang w:val="de-DE"/>
        </w:rPr>
        <w:t>daß</w:t>
      </w:r>
      <w:proofErr w:type="spellEnd"/>
      <w:r>
        <w:rPr>
          <w:lang w:val="de-DE"/>
        </w:rPr>
        <w:t xml:space="preserve"> ihre Symbolschöpfungen wissenschaftliche Urteile seien.“ (50) </w:t>
      </w:r>
    </w:p>
    <w:p w:rsidR="00D36EB9" w:rsidRDefault="00D36EB9">
      <w:pPr>
        <w:rPr>
          <w:lang w:val="de-DE"/>
        </w:rPr>
      </w:pPr>
      <w:r>
        <w:rPr>
          <w:lang w:val="de-DE"/>
        </w:rPr>
        <w:t xml:space="preserve">„Das </w:t>
      </w:r>
      <w:proofErr w:type="spellStart"/>
      <w:r>
        <w:rPr>
          <w:lang w:val="de-DE"/>
        </w:rPr>
        <w:t>Endreich</w:t>
      </w:r>
      <w:proofErr w:type="spellEnd"/>
      <w:r>
        <w:rPr>
          <w:lang w:val="de-DE"/>
        </w:rPr>
        <w:t xml:space="preserve"> ist nicht mehr eine überirdische Gemeinschaft des Geistes, sondern ein irdischer Zustand vollkommener Menschheit. […] Die Menschheit ist das große Kollektivum, an dessen Entwicklung jeder Mensch zu seinem Teil mitzuarbeiten hat; sie ist irdisch geschlossen, nur als Ganzes schreitet sie fort, und der Sinn der Einzelexistenz ist das instrumentale Wirken zum kollektiven Fortschritt.“ (51) </w:t>
      </w:r>
    </w:p>
    <w:p w:rsidR="00052442" w:rsidRPr="000509F8" w:rsidRDefault="00D36EB9">
      <w:pPr>
        <w:rPr>
          <w:lang w:val="de-DE"/>
        </w:rPr>
      </w:pPr>
      <w:r>
        <w:rPr>
          <w:lang w:val="de-DE"/>
        </w:rPr>
        <w:t>„zur positivistischen Apokalypse gehören Religion und Metaphysik als das Böse“ (52)</w:t>
      </w:r>
      <w:bookmarkStart w:id="0" w:name="_GoBack"/>
      <w:bookmarkEnd w:id="0"/>
      <w:r>
        <w:rPr>
          <w:lang w:val="de-DE"/>
        </w:rPr>
        <w:t xml:space="preserve"> </w:t>
      </w:r>
    </w:p>
    <w:sectPr w:rsidR="00052442" w:rsidRPr="000509F8"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9F8"/>
    <w:rsid w:val="000509F8"/>
    <w:rsid w:val="00052442"/>
    <w:rsid w:val="001231ED"/>
    <w:rsid w:val="00395CDE"/>
    <w:rsid w:val="0055526E"/>
    <w:rsid w:val="00635244"/>
    <w:rsid w:val="006E0AF6"/>
    <w:rsid w:val="00D36E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24009A77-18A3-2041-8BAB-2F69CA10C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2019-06-26T05:45:00Z</dcterms:created>
  <dcterms:modified xsi:type="dcterms:W3CDTF">2019-06-26T06:06:00Z</dcterms:modified>
</cp:coreProperties>
</file>